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2D09" w:rsidRDefault="00BF1CF8">
      <w:r>
        <w:rPr>
          <w:noProof/>
          <w:lang w:eastAsia="ru-RU"/>
        </w:rPr>
        <w:drawing>
          <wp:inline distT="0" distB="0" distL="0" distR="0">
            <wp:extent cx="6244480" cy="5242560"/>
            <wp:effectExtent l="0" t="0" r="444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TS_LSU_mtSSU.con_175000gen_collapsed.tre.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46586" cy="5244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5465" w:rsidRDefault="001A5465"/>
    <w:p w:rsidR="001A5465" w:rsidRDefault="001A5465" w:rsidP="003116E3">
      <w:pPr>
        <w:spacing w:after="0" w:line="480" w:lineRule="auto"/>
        <w:rPr>
          <w:rFonts w:ascii="Arial" w:hAnsi="Arial" w:cs="Arial"/>
          <w:sz w:val="24"/>
          <w:szCs w:val="24"/>
          <w:lang w:val="en-US"/>
        </w:rPr>
      </w:pPr>
      <w:r w:rsidRPr="009915FB">
        <w:rPr>
          <w:rFonts w:ascii="Arial" w:eastAsia="Times New Roman" w:hAnsi="Arial" w:cs="Arial"/>
          <w:b/>
          <w:sz w:val="24"/>
          <w:szCs w:val="24"/>
          <w:lang w:val="en-GB" w:eastAsia="ru-RU"/>
        </w:rPr>
        <w:t xml:space="preserve">Supplementary Material </w:t>
      </w:r>
      <w:r w:rsidRPr="00F5213A">
        <w:rPr>
          <w:rFonts w:ascii="Arial" w:eastAsia="Times New Roman" w:hAnsi="Arial" w:cs="Arial"/>
          <w:b/>
          <w:sz w:val="24"/>
          <w:szCs w:val="24"/>
          <w:lang w:val="en-GB" w:eastAsia="ru-RU"/>
        </w:rPr>
        <w:t xml:space="preserve">Fig. </w:t>
      </w:r>
      <w:r w:rsidRPr="00F5213A">
        <w:rPr>
          <w:rFonts w:ascii="Arial" w:eastAsia="Times New Roman" w:hAnsi="Arial" w:cs="Arial"/>
          <w:b/>
          <w:sz w:val="24"/>
          <w:szCs w:val="24"/>
          <w:lang w:val="en-US" w:eastAsia="ru-RU"/>
        </w:rPr>
        <w:t>S</w:t>
      </w:r>
      <w:r>
        <w:rPr>
          <w:rFonts w:ascii="Arial" w:eastAsia="Times New Roman" w:hAnsi="Arial" w:cs="Arial"/>
          <w:b/>
          <w:sz w:val="24"/>
          <w:szCs w:val="24"/>
          <w:lang w:val="en-US" w:eastAsia="ru-RU"/>
        </w:rPr>
        <w:t xml:space="preserve">1. </w:t>
      </w:r>
      <w:r w:rsidR="00BF1CF8" w:rsidRPr="00BF1CF8">
        <w:rPr>
          <w:rFonts w:ascii="Arial" w:hAnsi="Arial" w:cs="Arial"/>
          <w:sz w:val="24"/>
          <w:szCs w:val="24"/>
          <w:lang w:val="en-US"/>
        </w:rPr>
        <w:t xml:space="preserve">Phylogeny of the subfamily </w:t>
      </w:r>
      <w:r w:rsidR="00BF1CF8" w:rsidRPr="00BF1CF8">
        <w:rPr>
          <w:rFonts w:ascii="Arial" w:hAnsi="Arial" w:cs="Arial"/>
          <w:i/>
          <w:sz w:val="24"/>
          <w:szCs w:val="24"/>
          <w:lang w:val="en-US"/>
        </w:rPr>
        <w:t>Caloplacoideae</w:t>
      </w:r>
      <w:r w:rsidR="00BF1CF8" w:rsidRPr="00BF1CF8">
        <w:rPr>
          <w:rFonts w:ascii="Arial" w:hAnsi="Arial" w:cs="Arial"/>
          <w:sz w:val="24"/>
          <w:szCs w:val="24"/>
          <w:lang w:val="en-US"/>
        </w:rPr>
        <w:t xml:space="preserve"> (</w:t>
      </w:r>
      <w:r w:rsidR="00BF1CF8" w:rsidRPr="00BF1CF8">
        <w:rPr>
          <w:rFonts w:ascii="Arial" w:hAnsi="Arial" w:cs="Arial"/>
          <w:i/>
          <w:sz w:val="24"/>
          <w:szCs w:val="24"/>
          <w:lang w:val="en-US"/>
        </w:rPr>
        <w:t>Teloschistaceae</w:t>
      </w:r>
      <w:r w:rsidR="00BF1CF8" w:rsidRPr="00BF1CF8">
        <w:rPr>
          <w:rFonts w:ascii="Arial" w:hAnsi="Arial" w:cs="Arial"/>
          <w:sz w:val="24"/>
          <w:szCs w:val="24"/>
          <w:lang w:val="en-US"/>
        </w:rPr>
        <w:t xml:space="preserve">) based on the combined Bayesian analysis of </w:t>
      </w:r>
      <w:proofErr w:type="spellStart"/>
      <w:r w:rsidR="00BF1CF8" w:rsidRPr="00BF1CF8">
        <w:rPr>
          <w:rFonts w:ascii="Arial" w:hAnsi="Arial" w:cs="Arial"/>
          <w:sz w:val="24"/>
          <w:szCs w:val="24"/>
          <w:lang w:val="en-US"/>
        </w:rPr>
        <w:t>nrITS</w:t>
      </w:r>
      <w:proofErr w:type="spellEnd"/>
      <w:r w:rsidR="00BF1CF8" w:rsidRPr="00BF1CF8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="00BF1CF8" w:rsidRPr="00BF1CF8">
        <w:rPr>
          <w:rFonts w:ascii="Arial" w:hAnsi="Arial" w:cs="Arial"/>
          <w:sz w:val="24"/>
          <w:szCs w:val="24"/>
          <w:lang w:val="en-US"/>
        </w:rPr>
        <w:t>nrLSU</w:t>
      </w:r>
      <w:proofErr w:type="spellEnd"/>
      <w:r w:rsidR="00BF1CF8" w:rsidRPr="00BF1CF8">
        <w:rPr>
          <w:rFonts w:ascii="Arial" w:hAnsi="Arial" w:cs="Arial"/>
          <w:sz w:val="24"/>
          <w:szCs w:val="24"/>
          <w:lang w:val="en-US"/>
        </w:rPr>
        <w:t xml:space="preserve"> and </w:t>
      </w:r>
      <w:proofErr w:type="spellStart"/>
      <w:r w:rsidR="00BF1CF8" w:rsidRPr="00BF1CF8">
        <w:rPr>
          <w:rFonts w:ascii="Arial" w:hAnsi="Arial" w:cs="Arial"/>
          <w:sz w:val="24"/>
          <w:szCs w:val="24"/>
          <w:lang w:val="en-US"/>
        </w:rPr>
        <w:t>mtSSU</w:t>
      </w:r>
      <w:proofErr w:type="spellEnd"/>
      <w:r w:rsidR="00BF1CF8" w:rsidRPr="00BF1CF8">
        <w:rPr>
          <w:rFonts w:ascii="Arial" w:hAnsi="Arial" w:cs="Arial"/>
          <w:sz w:val="24"/>
          <w:szCs w:val="24"/>
          <w:lang w:val="en-US"/>
        </w:rPr>
        <w:t xml:space="preserve"> data. Genera </w:t>
      </w:r>
      <w:proofErr w:type="gramStart"/>
      <w:r w:rsidR="00BF1CF8" w:rsidRPr="00BF1CF8">
        <w:rPr>
          <w:rFonts w:ascii="Arial" w:hAnsi="Arial" w:cs="Arial"/>
          <w:sz w:val="24"/>
          <w:szCs w:val="24"/>
          <w:lang w:val="en-US"/>
        </w:rPr>
        <w:t>are collapsed</w:t>
      </w:r>
      <w:proofErr w:type="gramEnd"/>
      <w:r w:rsidR="00BF1CF8" w:rsidRPr="00BF1CF8">
        <w:rPr>
          <w:rFonts w:ascii="Arial" w:hAnsi="Arial" w:cs="Arial"/>
          <w:sz w:val="24"/>
          <w:szCs w:val="24"/>
          <w:lang w:val="en-US"/>
        </w:rPr>
        <w:t xml:space="preserve"> into single terminals. Numbers at branches represent posterior probability (PP) values ≥ 0.95. Numbers in parentheses correspond to the number of species of a genus used in the analysis.</w:t>
      </w:r>
      <w:r w:rsidR="00BF1CF8">
        <w:rPr>
          <w:rFonts w:ascii="Arial" w:hAnsi="Arial" w:cs="Arial"/>
          <w:sz w:val="24"/>
          <w:szCs w:val="24"/>
          <w:lang w:val="en-US"/>
        </w:rPr>
        <w:t xml:space="preserve"> Two new species and the genera </w:t>
      </w:r>
      <w:proofErr w:type="spellStart"/>
      <w:r w:rsidR="00BF1CF8" w:rsidRPr="00BF1CF8">
        <w:rPr>
          <w:rFonts w:ascii="Arial" w:hAnsi="Arial" w:cs="Arial"/>
          <w:i/>
          <w:sz w:val="24"/>
          <w:szCs w:val="24"/>
          <w:lang w:val="en-US"/>
        </w:rPr>
        <w:t>Blastenia</w:t>
      </w:r>
      <w:proofErr w:type="spellEnd"/>
      <w:r w:rsidR="00BF1CF8">
        <w:rPr>
          <w:rFonts w:ascii="Arial" w:hAnsi="Arial" w:cs="Arial"/>
          <w:sz w:val="24"/>
          <w:szCs w:val="24"/>
          <w:lang w:val="en-US"/>
        </w:rPr>
        <w:t xml:space="preserve"> and </w:t>
      </w:r>
      <w:r w:rsidR="00BF1CF8" w:rsidRPr="00BF1CF8">
        <w:rPr>
          <w:rFonts w:ascii="Arial" w:hAnsi="Arial" w:cs="Arial"/>
          <w:i/>
          <w:sz w:val="24"/>
          <w:szCs w:val="24"/>
          <w:lang w:val="en-US"/>
        </w:rPr>
        <w:t>Gyalolechia</w:t>
      </w:r>
      <w:r w:rsidR="00BF1CF8">
        <w:rPr>
          <w:rFonts w:ascii="Arial" w:hAnsi="Arial" w:cs="Arial"/>
          <w:sz w:val="24"/>
          <w:szCs w:val="24"/>
          <w:lang w:val="en-US"/>
        </w:rPr>
        <w:t xml:space="preserve"> are in bold, and the genus </w:t>
      </w:r>
      <w:proofErr w:type="spellStart"/>
      <w:r w:rsidR="00BF1CF8" w:rsidRPr="00BF1CF8">
        <w:rPr>
          <w:rFonts w:ascii="Arial" w:hAnsi="Arial" w:cs="Arial"/>
          <w:i/>
          <w:sz w:val="24"/>
          <w:szCs w:val="24"/>
          <w:lang w:val="en-US"/>
        </w:rPr>
        <w:t>Blastenia</w:t>
      </w:r>
      <w:proofErr w:type="spellEnd"/>
      <w:r w:rsidR="00BF1CF8">
        <w:rPr>
          <w:rFonts w:ascii="Arial" w:hAnsi="Arial" w:cs="Arial"/>
          <w:sz w:val="24"/>
          <w:szCs w:val="24"/>
          <w:lang w:val="en-US"/>
        </w:rPr>
        <w:t xml:space="preserve"> </w:t>
      </w:r>
      <w:proofErr w:type="gramStart"/>
      <w:r w:rsidR="00BF1CF8">
        <w:rPr>
          <w:rFonts w:ascii="Arial" w:hAnsi="Arial" w:cs="Arial"/>
          <w:sz w:val="24"/>
          <w:szCs w:val="24"/>
          <w:lang w:val="en-US"/>
        </w:rPr>
        <w:t>is ad</w:t>
      </w:r>
      <w:bookmarkStart w:id="0" w:name="_GoBack"/>
      <w:bookmarkEnd w:id="0"/>
      <w:r w:rsidR="00BF1CF8">
        <w:rPr>
          <w:rFonts w:ascii="Arial" w:hAnsi="Arial" w:cs="Arial"/>
          <w:sz w:val="24"/>
          <w:szCs w:val="24"/>
          <w:lang w:val="en-US"/>
        </w:rPr>
        <w:t>ditionally pointed out</w:t>
      </w:r>
      <w:proofErr w:type="gramEnd"/>
      <w:r w:rsidR="00BF1CF8">
        <w:rPr>
          <w:rFonts w:ascii="Arial" w:hAnsi="Arial" w:cs="Arial"/>
          <w:sz w:val="24"/>
          <w:szCs w:val="24"/>
          <w:lang w:val="en-US"/>
        </w:rPr>
        <w:t xml:space="preserve"> with an arrow.</w:t>
      </w:r>
    </w:p>
    <w:p w:rsidR="003116E3" w:rsidRDefault="003116E3"/>
    <w:sectPr w:rsidR="003116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465"/>
    <w:rsid w:val="000567B2"/>
    <w:rsid w:val="001A5465"/>
    <w:rsid w:val="001C2D09"/>
    <w:rsid w:val="003116E3"/>
    <w:rsid w:val="00BF1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EB11E"/>
  <w15:chartTrackingRefBased/>
  <w15:docId w15:val="{E15F58D7-E1A6-4C83-BE03-F95C3D18E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1A5465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1A5465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1A5465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1A54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54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author</cp:lastModifiedBy>
  <cp:revision>2</cp:revision>
  <dcterms:created xsi:type="dcterms:W3CDTF">2023-10-12T11:14:00Z</dcterms:created>
  <dcterms:modified xsi:type="dcterms:W3CDTF">2024-10-06T09:04:00Z</dcterms:modified>
</cp:coreProperties>
</file>